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BF4" w:rsidRPr="00F81BF4" w:rsidRDefault="00F81BF4" w:rsidP="00F81BF4">
      <w:pPr>
        <w:spacing w:line="480" w:lineRule="auto"/>
        <w:ind w:firstLine="720"/>
        <w:jc w:val="both"/>
        <w:rPr>
          <w:rFonts w:ascii="Times New Roman" w:hAnsi="Times New Roman" w:cs="Times New Roman"/>
          <w:b/>
          <w:sz w:val="24"/>
          <w:szCs w:val="24"/>
        </w:rPr>
      </w:pPr>
    </w:p>
    <w:p w:rsidR="00F81BF4" w:rsidRPr="00F81BF4" w:rsidRDefault="00F81BF4" w:rsidP="00F81BF4">
      <w:pPr>
        <w:spacing w:line="480" w:lineRule="auto"/>
        <w:ind w:firstLine="720"/>
        <w:jc w:val="both"/>
        <w:rPr>
          <w:rFonts w:ascii="Times New Roman" w:hAnsi="Times New Roman" w:cs="Times New Roman"/>
          <w:b/>
          <w:sz w:val="24"/>
          <w:szCs w:val="24"/>
        </w:rPr>
      </w:pPr>
    </w:p>
    <w:p w:rsidR="00F81BF4" w:rsidRPr="00F81BF4" w:rsidRDefault="00F81BF4" w:rsidP="00F81BF4">
      <w:pPr>
        <w:spacing w:line="480" w:lineRule="auto"/>
        <w:ind w:firstLine="720"/>
        <w:jc w:val="both"/>
        <w:rPr>
          <w:rFonts w:ascii="Times New Roman" w:hAnsi="Times New Roman" w:cs="Times New Roman"/>
          <w:b/>
          <w:sz w:val="24"/>
          <w:szCs w:val="24"/>
        </w:rPr>
      </w:pPr>
    </w:p>
    <w:p w:rsidR="00F81BF4" w:rsidRPr="00F81BF4" w:rsidRDefault="00F81BF4" w:rsidP="00F81BF4">
      <w:pPr>
        <w:spacing w:line="480" w:lineRule="auto"/>
        <w:ind w:firstLine="720"/>
        <w:jc w:val="both"/>
        <w:rPr>
          <w:rFonts w:ascii="Times New Roman" w:hAnsi="Times New Roman" w:cs="Times New Roman"/>
          <w:b/>
          <w:sz w:val="24"/>
          <w:szCs w:val="24"/>
        </w:rPr>
      </w:pPr>
    </w:p>
    <w:p w:rsidR="00F81BF4" w:rsidRDefault="00F81BF4" w:rsidP="00F81BF4">
      <w:pPr>
        <w:spacing w:line="480" w:lineRule="auto"/>
        <w:jc w:val="both"/>
        <w:rPr>
          <w:rFonts w:ascii="Times New Roman" w:hAnsi="Times New Roman" w:cs="Times New Roman"/>
          <w:b/>
          <w:sz w:val="24"/>
          <w:szCs w:val="24"/>
        </w:rPr>
      </w:pPr>
    </w:p>
    <w:p w:rsidR="00F81BF4" w:rsidRPr="00F81BF4" w:rsidRDefault="00F81BF4" w:rsidP="00F81BF4">
      <w:pPr>
        <w:spacing w:line="480" w:lineRule="auto"/>
        <w:jc w:val="both"/>
        <w:rPr>
          <w:rFonts w:ascii="Times New Roman" w:hAnsi="Times New Roman" w:cs="Times New Roman"/>
          <w:b/>
          <w:sz w:val="24"/>
          <w:szCs w:val="24"/>
        </w:rPr>
      </w:pPr>
    </w:p>
    <w:p w:rsidR="00F81BF4" w:rsidRPr="00F81BF4" w:rsidRDefault="00F81BF4" w:rsidP="00F81BF4">
      <w:pPr>
        <w:spacing w:line="480" w:lineRule="auto"/>
        <w:ind w:firstLine="720"/>
        <w:jc w:val="center"/>
        <w:rPr>
          <w:rFonts w:ascii="Times New Roman" w:hAnsi="Times New Roman" w:cs="Times New Roman"/>
          <w:b/>
          <w:sz w:val="24"/>
          <w:szCs w:val="24"/>
        </w:rPr>
      </w:pPr>
    </w:p>
    <w:p w:rsidR="00F81BF4" w:rsidRPr="00F81BF4" w:rsidRDefault="00555578" w:rsidP="00F81BF4">
      <w:pPr>
        <w:spacing w:line="480" w:lineRule="auto"/>
        <w:ind w:firstLine="720"/>
        <w:jc w:val="center"/>
        <w:rPr>
          <w:rFonts w:ascii="Times New Roman" w:hAnsi="Times New Roman" w:cs="Times New Roman"/>
          <w:sz w:val="24"/>
          <w:szCs w:val="24"/>
        </w:rPr>
      </w:pPr>
      <w:r w:rsidRPr="00F81BF4">
        <w:rPr>
          <w:rFonts w:ascii="Times New Roman" w:hAnsi="Times New Roman" w:cs="Times New Roman"/>
          <w:sz w:val="24"/>
          <w:szCs w:val="24"/>
        </w:rPr>
        <w:t>High-Leverage Practices for Special Education</w:t>
      </w:r>
    </w:p>
    <w:p w:rsidR="00F81BF4" w:rsidRPr="00F81BF4" w:rsidRDefault="00555578" w:rsidP="00F81BF4">
      <w:pPr>
        <w:spacing w:line="480" w:lineRule="auto"/>
        <w:ind w:firstLine="720"/>
        <w:jc w:val="center"/>
        <w:rPr>
          <w:rFonts w:ascii="Times New Roman" w:hAnsi="Times New Roman" w:cs="Times New Roman"/>
          <w:sz w:val="24"/>
          <w:szCs w:val="24"/>
        </w:rPr>
      </w:pPr>
      <w:r w:rsidRPr="00F81BF4">
        <w:rPr>
          <w:rFonts w:ascii="Times New Roman" w:hAnsi="Times New Roman" w:cs="Times New Roman"/>
          <w:sz w:val="24"/>
          <w:szCs w:val="24"/>
        </w:rPr>
        <w:t>Student Name</w:t>
      </w:r>
    </w:p>
    <w:p w:rsidR="00F81BF4" w:rsidRPr="00F81BF4" w:rsidRDefault="00555578" w:rsidP="00F81BF4">
      <w:pPr>
        <w:spacing w:line="480" w:lineRule="auto"/>
        <w:ind w:firstLine="720"/>
        <w:jc w:val="center"/>
        <w:rPr>
          <w:rFonts w:ascii="Times New Roman" w:hAnsi="Times New Roman" w:cs="Times New Roman"/>
          <w:sz w:val="24"/>
          <w:szCs w:val="24"/>
        </w:rPr>
      </w:pPr>
      <w:r w:rsidRPr="00F81BF4">
        <w:rPr>
          <w:rFonts w:ascii="Times New Roman" w:hAnsi="Times New Roman" w:cs="Times New Roman"/>
          <w:sz w:val="24"/>
          <w:szCs w:val="24"/>
        </w:rPr>
        <w:t>Institution Affiliation</w:t>
      </w:r>
    </w:p>
    <w:p w:rsidR="00F81BF4" w:rsidRPr="00F81BF4" w:rsidRDefault="00555578" w:rsidP="00F81BF4">
      <w:pPr>
        <w:spacing w:line="480" w:lineRule="auto"/>
        <w:ind w:firstLine="720"/>
        <w:jc w:val="center"/>
        <w:rPr>
          <w:rFonts w:ascii="Times New Roman" w:hAnsi="Times New Roman" w:cs="Times New Roman"/>
          <w:sz w:val="24"/>
          <w:szCs w:val="24"/>
        </w:rPr>
      </w:pPr>
      <w:r w:rsidRPr="00F81BF4">
        <w:rPr>
          <w:rFonts w:ascii="Times New Roman" w:hAnsi="Times New Roman" w:cs="Times New Roman"/>
          <w:sz w:val="24"/>
          <w:szCs w:val="24"/>
        </w:rPr>
        <w:t>Course</w:t>
      </w:r>
    </w:p>
    <w:p w:rsidR="0021771B" w:rsidRPr="0021771B" w:rsidRDefault="00555578" w:rsidP="0021771B">
      <w:pPr>
        <w:spacing w:line="480" w:lineRule="auto"/>
        <w:ind w:firstLine="720"/>
        <w:jc w:val="center"/>
        <w:rPr>
          <w:rFonts w:ascii="Times New Roman" w:hAnsi="Times New Roman" w:cs="Times New Roman"/>
          <w:sz w:val="24"/>
          <w:szCs w:val="24"/>
        </w:rPr>
      </w:pPr>
      <w:r w:rsidRPr="00F81BF4">
        <w:rPr>
          <w:rFonts w:ascii="Times New Roman" w:hAnsi="Times New Roman" w:cs="Times New Roman"/>
          <w:sz w:val="24"/>
          <w:szCs w:val="24"/>
        </w:rPr>
        <w:t>Date</w:t>
      </w:r>
      <w:r w:rsidR="00B52CCE">
        <w:rPr>
          <w:rFonts w:ascii="Times New Roman" w:hAnsi="Times New Roman" w:cs="Times New Roman"/>
          <w:sz w:val="24"/>
          <w:szCs w:val="24"/>
        </w:rPr>
        <w:br w:type="page"/>
      </w:r>
    </w:p>
    <w:p w:rsidR="002324D9" w:rsidRDefault="0021771B" w:rsidP="002324D9">
      <w:pPr>
        <w:widowControl w:val="0"/>
        <w:pBdr>
          <w:top w:val="nil"/>
          <w:left w:val="nil"/>
          <w:bottom w:val="nil"/>
          <w:right w:val="nil"/>
          <w:between w:val="nil"/>
        </w:pBdr>
        <w:spacing w:line="480" w:lineRule="auto"/>
        <w:jc w:val="both"/>
        <w:rPr>
          <w:rFonts w:ascii="Times New Roman" w:hAnsi="Times New Roman" w:cs="Times New Roman"/>
          <w:sz w:val="24"/>
          <w:szCs w:val="24"/>
        </w:rPr>
      </w:pPr>
      <w:r w:rsidRPr="00B83B58">
        <w:rPr>
          <w:rFonts w:ascii="Times New Roman" w:hAnsi="Times New Roman" w:cs="Times New Roman"/>
          <w:sz w:val="24"/>
          <w:szCs w:val="24"/>
        </w:rPr>
        <w:lastRenderedPageBreak/>
        <w:t>High-Leverage Practices in Special Education is a fundamental teaching tool developed to establish a consistent, organized, and respectful learning environment for people with disabilities. There is much success in the video associated with the High-Leverage Practice in Special Education. To sta</w:t>
      </w:r>
      <w:r w:rsidR="002324D9">
        <w:rPr>
          <w:rFonts w:ascii="Times New Roman" w:hAnsi="Times New Roman" w:cs="Times New Roman"/>
          <w:sz w:val="24"/>
          <w:szCs w:val="24"/>
        </w:rPr>
        <w:t xml:space="preserve">rt with the successes there is </w:t>
      </w:r>
      <w:r w:rsidRPr="002324D9">
        <w:rPr>
          <w:rFonts w:ascii="Times New Roman" w:hAnsi="Times New Roman" w:cs="Times New Roman"/>
          <w:sz w:val="24"/>
          <w:szCs w:val="24"/>
        </w:rPr>
        <w:t>Collaboration; High-Leverage Practices in Special Education has made good interaction and existence of pleasing relations between the students, parents, and the responsible bodies that govern the education curriculum to ensure that there is a good environment favoring students with special needs.</w:t>
      </w:r>
      <w:r w:rsidR="002324D9">
        <w:rPr>
          <w:rFonts w:ascii="Times New Roman" w:hAnsi="Times New Roman" w:cs="Times New Roman"/>
          <w:sz w:val="24"/>
          <w:szCs w:val="24"/>
        </w:rPr>
        <w:t xml:space="preserve"> Secondly, assessment is another success.</w:t>
      </w:r>
      <w:r w:rsidRPr="002324D9">
        <w:rPr>
          <w:rFonts w:ascii="Times New Roman" w:hAnsi="Times New Roman" w:cs="Times New Roman"/>
          <w:sz w:val="24"/>
          <w:szCs w:val="24"/>
        </w:rPr>
        <w:t xml:space="preserve"> The upheld High-Leverage Practice in Special Education is portraying good assessment of their students despite their differences, which ensures that they are dealt with well.</w:t>
      </w:r>
      <w:r w:rsidR="002324D9">
        <w:rPr>
          <w:rFonts w:ascii="Times New Roman" w:hAnsi="Times New Roman" w:cs="Times New Roman"/>
          <w:sz w:val="24"/>
          <w:szCs w:val="24"/>
        </w:rPr>
        <w:t xml:space="preserve"> Emotional/Social/Behavioral are success observed i</w:t>
      </w:r>
      <w:r w:rsidRPr="002324D9">
        <w:rPr>
          <w:rFonts w:ascii="Times New Roman" w:hAnsi="Times New Roman" w:cs="Times New Roman"/>
          <w:sz w:val="24"/>
          <w:szCs w:val="24"/>
        </w:rPr>
        <w:t>n a High-Leverage Practice in Special Education, there is the existence of social and emotional behaviors practiced by teachers when dealing with students with special needs to ensure that they do not feel neglected, disadvantaged, or being looked down at.</w:t>
      </w:r>
      <w:r w:rsidR="002324D9">
        <w:rPr>
          <w:rFonts w:ascii="Times New Roman" w:hAnsi="Times New Roman" w:cs="Times New Roman"/>
          <w:sz w:val="24"/>
          <w:szCs w:val="24"/>
        </w:rPr>
        <w:t xml:space="preserve"> In summation on successes, there is </w:t>
      </w:r>
      <w:r w:rsidRPr="00B83B58">
        <w:rPr>
          <w:rFonts w:ascii="Times New Roman" w:hAnsi="Times New Roman" w:cs="Times New Roman"/>
          <w:sz w:val="24"/>
          <w:szCs w:val="24"/>
        </w:rPr>
        <w:t>I</w:t>
      </w:r>
      <w:r w:rsidR="002324D9">
        <w:rPr>
          <w:rFonts w:ascii="Times New Roman" w:hAnsi="Times New Roman" w:cs="Times New Roman"/>
          <w:sz w:val="24"/>
          <w:szCs w:val="24"/>
        </w:rPr>
        <w:t xml:space="preserve">nstruction. </w:t>
      </w:r>
      <w:r w:rsidRPr="00B83B58">
        <w:rPr>
          <w:rFonts w:ascii="Times New Roman" w:hAnsi="Times New Roman" w:cs="Times New Roman"/>
          <w:sz w:val="24"/>
          <w:szCs w:val="24"/>
        </w:rPr>
        <w:t>High-Leverage Practice in Special Education formulates instructions that each individual should be upheld in teaching institutions for people with special education to ensure that their students feel appreciated.</w:t>
      </w:r>
    </w:p>
    <w:p w:rsidR="0021771B" w:rsidRPr="002324D9" w:rsidRDefault="0021771B" w:rsidP="002324D9">
      <w:pPr>
        <w:widowControl w:val="0"/>
        <w:pBdr>
          <w:top w:val="nil"/>
          <w:left w:val="nil"/>
          <w:bottom w:val="nil"/>
          <w:right w:val="nil"/>
          <w:between w:val="nil"/>
        </w:pBdr>
        <w:spacing w:line="480" w:lineRule="auto"/>
        <w:jc w:val="both"/>
        <w:rPr>
          <w:rFonts w:ascii="Times New Roman" w:hAnsi="Times New Roman" w:cs="Times New Roman"/>
          <w:sz w:val="24"/>
          <w:szCs w:val="24"/>
        </w:rPr>
      </w:pPr>
      <w:r w:rsidRPr="00B83B58">
        <w:rPr>
          <w:rFonts w:ascii="Times New Roman" w:hAnsi="Times New Roman" w:cs="Times New Roman"/>
          <w:sz w:val="24"/>
          <w:szCs w:val="24"/>
        </w:rPr>
        <w:t xml:space="preserve"> In High-Leverage Practices in Special Practices, growth is experienced in some areas; for instance, </w:t>
      </w:r>
      <w:r w:rsidR="002324D9">
        <w:rPr>
          <w:rFonts w:ascii="Times New Roman" w:hAnsi="Times New Roman" w:cs="Times New Roman"/>
          <w:sz w:val="24"/>
          <w:szCs w:val="24"/>
        </w:rPr>
        <w:t xml:space="preserve">there is growth in Definition and Rationale. </w:t>
      </w:r>
      <w:r w:rsidRPr="002324D9">
        <w:rPr>
          <w:rFonts w:ascii="Times New Roman" w:hAnsi="Times New Roman" w:cs="Times New Roman"/>
          <w:sz w:val="24"/>
          <w:szCs w:val="24"/>
        </w:rPr>
        <w:t>This has been done by establishing a respectful, consistent and respectful learning environment for people with disabilities by being panful as well as deliberate by giving directions that are clear, procedures, and also expectations that are there for students with disabilities.</w:t>
      </w:r>
      <w:r w:rsidR="002324D9">
        <w:rPr>
          <w:rFonts w:ascii="Times New Roman" w:hAnsi="Times New Roman" w:cs="Times New Roman"/>
          <w:sz w:val="24"/>
          <w:szCs w:val="24"/>
        </w:rPr>
        <w:t xml:space="preserve"> Moreover, growth is found in key components with HLP. These</w:t>
      </w:r>
      <w:r w:rsidRPr="002324D9">
        <w:rPr>
          <w:rFonts w:ascii="Times New Roman" w:hAnsi="Times New Roman" w:cs="Times New Roman"/>
          <w:sz w:val="24"/>
          <w:szCs w:val="24"/>
        </w:rPr>
        <w:t xml:space="preserve"> key components are on classroom expectations as well as definition and teaching of rules, use of continuous strategies to acknowledge appropriate behavior with high frequency, and finally optimization of instructional time.</w:t>
      </w:r>
    </w:p>
    <w:p w:rsidR="002324D9" w:rsidRDefault="002324D9" w:rsidP="0021771B">
      <w:pPr>
        <w:widowControl w:val="0"/>
        <w:pBdr>
          <w:top w:val="nil"/>
          <w:left w:val="nil"/>
          <w:bottom w:val="nil"/>
          <w:right w:val="nil"/>
          <w:between w:val="nil"/>
        </w:pBdr>
        <w:spacing w:line="480" w:lineRule="auto"/>
        <w:jc w:val="both"/>
        <w:rPr>
          <w:rFonts w:ascii="Times New Roman" w:hAnsi="Times New Roman" w:cs="Times New Roman"/>
          <w:sz w:val="24"/>
          <w:szCs w:val="24"/>
        </w:rPr>
      </w:pPr>
    </w:p>
    <w:p w:rsidR="0021771B" w:rsidRPr="002324D9" w:rsidRDefault="0021771B" w:rsidP="002324D9">
      <w:pPr>
        <w:widowControl w:val="0"/>
        <w:pBdr>
          <w:top w:val="nil"/>
          <w:left w:val="nil"/>
          <w:bottom w:val="nil"/>
          <w:right w:val="nil"/>
          <w:between w:val="nil"/>
        </w:pBdr>
        <w:spacing w:line="480" w:lineRule="auto"/>
        <w:jc w:val="both"/>
        <w:rPr>
          <w:rFonts w:ascii="Times New Roman" w:hAnsi="Times New Roman" w:cs="Times New Roman"/>
          <w:sz w:val="24"/>
          <w:szCs w:val="24"/>
        </w:rPr>
      </w:pPr>
      <w:r w:rsidRPr="00B83B58">
        <w:rPr>
          <w:rFonts w:ascii="Times New Roman" w:hAnsi="Times New Roman" w:cs="Times New Roman"/>
          <w:sz w:val="24"/>
          <w:szCs w:val="24"/>
        </w:rPr>
        <w:t>On the other hand, there are questions concerning high-leverage practices for special edu</w:t>
      </w:r>
      <w:r w:rsidR="002324D9">
        <w:rPr>
          <w:rFonts w:ascii="Times New Roman" w:hAnsi="Times New Roman" w:cs="Times New Roman"/>
          <w:sz w:val="24"/>
          <w:szCs w:val="24"/>
        </w:rPr>
        <w:t>cation.  Such questions include:</w:t>
      </w:r>
      <w:r w:rsidR="002324D9" w:rsidRPr="002324D9">
        <w:rPr>
          <w:rFonts w:ascii="Times New Roman" w:hAnsi="Times New Roman" w:cs="Times New Roman"/>
          <w:sz w:val="24"/>
          <w:szCs w:val="24"/>
        </w:rPr>
        <w:t xml:space="preserve"> Is</w:t>
      </w:r>
      <w:r w:rsidRPr="002324D9">
        <w:rPr>
          <w:rFonts w:ascii="Times New Roman" w:hAnsi="Times New Roman" w:cs="Times New Roman"/>
          <w:sz w:val="24"/>
          <w:szCs w:val="24"/>
        </w:rPr>
        <w:t xml:space="preserve"> HLP in special education acknowledgments of behavior that is appropriate in every educational correction concerning people with special </w:t>
      </w:r>
      <w:r w:rsidR="002324D9" w:rsidRPr="002324D9">
        <w:rPr>
          <w:rFonts w:ascii="Times New Roman" w:hAnsi="Times New Roman" w:cs="Times New Roman"/>
          <w:sz w:val="24"/>
          <w:szCs w:val="24"/>
        </w:rPr>
        <w:t>needs? Is</w:t>
      </w:r>
      <w:r w:rsidRPr="002324D9">
        <w:rPr>
          <w:rFonts w:ascii="Times New Roman" w:hAnsi="Times New Roman" w:cs="Times New Roman"/>
          <w:sz w:val="24"/>
          <w:szCs w:val="24"/>
        </w:rPr>
        <w:t xml:space="preserve"> there acknowledgment of mastery of expectations and compliance with procedures</w:t>
      </w:r>
      <w:r w:rsidR="002324D9" w:rsidRPr="002324D9">
        <w:rPr>
          <w:rFonts w:ascii="Times New Roman" w:hAnsi="Times New Roman" w:cs="Times New Roman"/>
          <w:sz w:val="24"/>
          <w:szCs w:val="24"/>
        </w:rPr>
        <w:t>? Is</w:t>
      </w:r>
      <w:r w:rsidRPr="002324D9">
        <w:rPr>
          <w:rFonts w:ascii="Times New Roman" w:hAnsi="Times New Roman" w:cs="Times New Roman"/>
          <w:sz w:val="24"/>
          <w:szCs w:val="24"/>
        </w:rPr>
        <w:t xml:space="preserve"> there a variety of method that is used to acknowledge appropriate behavior for students with a disability?</w:t>
      </w:r>
    </w:p>
    <w:p w:rsidR="0021771B" w:rsidRPr="002324D9" w:rsidRDefault="0021771B" w:rsidP="002324D9">
      <w:pPr>
        <w:widowControl w:val="0"/>
        <w:pBdr>
          <w:top w:val="nil"/>
          <w:left w:val="nil"/>
          <w:bottom w:val="nil"/>
          <w:right w:val="nil"/>
          <w:between w:val="nil"/>
        </w:pBdr>
        <w:spacing w:line="480" w:lineRule="auto"/>
        <w:jc w:val="both"/>
        <w:rPr>
          <w:rFonts w:ascii="Times New Roman" w:hAnsi="Times New Roman" w:cs="Times New Roman"/>
          <w:sz w:val="24"/>
          <w:szCs w:val="24"/>
        </w:rPr>
      </w:pPr>
      <w:r w:rsidRPr="00B83B58">
        <w:rPr>
          <w:rFonts w:ascii="Times New Roman" w:hAnsi="Times New Roman" w:cs="Times New Roman"/>
          <w:sz w:val="24"/>
          <w:szCs w:val="24"/>
        </w:rPr>
        <w:t xml:space="preserve">Everything we engage ourselves in, for it to be productive it has to have growth. In an HLP for special education, educators and the responsible bodies should have a plan of the next steps they intend to take. Some of the next steps are </w:t>
      </w:r>
      <w:r w:rsidR="002324D9">
        <w:rPr>
          <w:rFonts w:ascii="Times New Roman" w:hAnsi="Times New Roman" w:cs="Times New Roman"/>
          <w:sz w:val="24"/>
          <w:szCs w:val="24"/>
        </w:rPr>
        <w:t xml:space="preserve">likely to take is: Being responsible in the classroom, </w:t>
      </w:r>
    </w:p>
    <w:p w:rsidR="0021771B" w:rsidRPr="002324D9" w:rsidRDefault="0021771B" w:rsidP="002324D9">
      <w:pPr>
        <w:widowControl w:val="0"/>
        <w:pBdr>
          <w:top w:val="nil"/>
          <w:left w:val="nil"/>
          <w:bottom w:val="nil"/>
          <w:right w:val="nil"/>
          <w:between w:val="nil"/>
        </w:pBdr>
        <w:spacing w:line="480" w:lineRule="auto"/>
        <w:jc w:val="both"/>
        <w:rPr>
          <w:rFonts w:ascii="Times New Roman" w:hAnsi="Times New Roman" w:cs="Times New Roman"/>
          <w:sz w:val="24"/>
          <w:szCs w:val="24"/>
        </w:rPr>
      </w:pPr>
      <w:r w:rsidRPr="002324D9">
        <w:rPr>
          <w:rFonts w:ascii="Times New Roman" w:hAnsi="Times New Roman" w:cs="Times New Roman"/>
          <w:sz w:val="24"/>
          <w:szCs w:val="24"/>
        </w:rPr>
        <w:t>Making statements to individuals, small grou</w:t>
      </w:r>
      <w:r w:rsidR="002324D9">
        <w:rPr>
          <w:rFonts w:ascii="Times New Roman" w:hAnsi="Times New Roman" w:cs="Times New Roman"/>
          <w:sz w:val="24"/>
          <w:szCs w:val="24"/>
        </w:rPr>
        <w:t>ps, as well as the entire class and finally t</w:t>
      </w:r>
      <w:bookmarkStart w:id="0" w:name="_GoBack"/>
      <w:bookmarkEnd w:id="0"/>
      <w:r w:rsidRPr="002324D9">
        <w:rPr>
          <w:rFonts w:ascii="Times New Roman" w:hAnsi="Times New Roman" w:cs="Times New Roman"/>
          <w:sz w:val="24"/>
          <w:szCs w:val="24"/>
        </w:rPr>
        <w:t>aking more time to explicitly teach students what your non-verbal cues mean.</w:t>
      </w:r>
    </w:p>
    <w:p w:rsidR="00E433E3" w:rsidRPr="00F81BF4" w:rsidRDefault="00555578" w:rsidP="00465A6F">
      <w:pPr>
        <w:spacing w:line="480" w:lineRule="auto"/>
        <w:ind w:firstLine="720"/>
        <w:jc w:val="center"/>
        <w:rPr>
          <w:rFonts w:ascii="Times New Roman" w:hAnsi="Times New Roman" w:cs="Times New Roman"/>
          <w:b/>
          <w:sz w:val="24"/>
          <w:szCs w:val="24"/>
        </w:rPr>
      </w:pPr>
      <w:r w:rsidRPr="00F81BF4">
        <w:rPr>
          <w:rFonts w:ascii="Times New Roman" w:hAnsi="Times New Roman" w:cs="Times New Roman"/>
          <w:b/>
          <w:sz w:val="24"/>
          <w:szCs w:val="24"/>
        </w:rPr>
        <w:t>Introduction</w:t>
      </w:r>
    </w:p>
    <w:p w:rsidR="00DE6157"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High-leverage practices are basics as well as essentials of teachings. In the educational field, these practices are used continuously. However, they are critically used to help students in learning content that are important. The high-leverage practices have emerged as central that is used in supporting the emotional as well as social development of students.  High-leverage practices have been commonly used across subject grade levels, areas, and contexts.  In conjunction with studying this work's topic, high-leverage in special education has been upheld by almost every teaching and learning institution, which is considered a required criterion for an institution to be certified in accommodating students with special needs. All educators should practice High-leverage practices, mostly educational practices that occur frequently and that. For the educators to meet in the high-leverage practice for special education, they should be capable </w:t>
      </w:r>
      <w:r w:rsidRPr="00F81BF4">
        <w:rPr>
          <w:rFonts w:ascii="Times New Roman" w:hAnsi="Times New Roman" w:cs="Times New Roman"/>
          <w:sz w:val="24"/>
          <w:szCs w:val="24"/>
        </w:rPr>
        <w:lastRenderedPageBreak/>
        <w:t>of knowing how to exercise practices that are making students that have a disability, which can either be physical or mental to fit in the education system without feeling isolated, looked down</w:t>
      </w:r>
      <w:r w:rsidR="00C34784" w:rsidRPr="00F81BF4">
        <w:rPr>
          <w:rFonts w:ascii="Times New Roman" w:hAnsi="Times New Roman" w:cs="Times New Roman"/>
          <w:sz w:val="24"/>
          <w:szCs w:val="24"/>
        </w:rPr>
        <w:t xml:space="preserve"> at and also being discouraged</w:t>
      </w:r>
      <w:r w:rsidR="00C34784" w:rsidRPr="00F81BF4">
        <w:rPr>
          <w:rFonts w:ascii="Times New Roman" w:hAnsi="Times New Roman" w:cs="Times New Roman"/>
          <w:sz w:val="24"/>
          <w:szCs w:val="24"/>
          <w:shd w:val="clear" w:color="auto" w:fill="FFFFFF"/>
        </w:rPr>
        <w:t xml:space="preserve"> </w:t>
      </w:r>
      <w:r w:rsidR="00F81BF4" w:rsidRPr="00F81BF4">
        <w:rPr>
          <w:rFonts w:ascii="Times New Roman" w:hAnsi="Times New Roman" w:cs="Times New Roman"/>
          <w:sz w:val="24"/>
          <w:szCs w:val="24"/>
          <w:shd w:val="clear" w:color="auto" w:fill="FFFFFF"/>
        </w:rPr>
        <w:t xml:space="preserve">(McLeskey </w:t>
      </w:r>
      <w:r w:rsidR="00F81BF4" w:rsidRPr="00F81BF4">
        <w:rPr>
          <w:rFonts w:ascii="Times New Roman" w:hAnsi="Times New Roman" w:cs="Times New Roman"/>
          <w:i/>
          <w:sz w:val="24"/>
          <w:szCs w:val="24"/>
          <w:shd w:val="clear" w:color="auto" w:fill="FFFFFF"/>
        </w:rPr>
        <w:t xml:space="preserve">et al., </w:t>
      </w:r>
      <w:r w:rsidR="00C34784" w:rsidRPr="00F81BF4">
        <w:rPr>
          <w:rFonts w:ascii="Times New Roman" w:hAnsi="Times New Roman" w:cs="Times New Roman"/>
          <w:sz w:val="24"/>
          <w:szCs w:val="24"/>
          <w:shd w:val="clear" w:color="auto" w:fill="FFFFFF"/>
        </w:rPr>
        <w:t>2017)</w:t>
      </w:r>
      <w:r w:rsidR="00F81BF4" w:rsidRPr="00F81BF4">
        <w:rPr>
          <w:rFonts w:ascii="Times New Roman" w:hAnsi="Times New Roman" w:cs="Times New Roman"/>
          <w:sz w:val="24"/>
          <w:szCs w:val="24"/>
          <w:shd w:val="clear" w:color="auto" w:fill="FFFFFF"/>
        </w:rPr>
        <w:t>.</w:t>
      </w:r>
    </w:p>
    <w:p w:rsidR="005656A7"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Educators should use high-leverage practices frequently, and it should be cut across instructional content. Besides, the high-leverage practices should be applied to many age levels and types of learners that are different to improve the students' outcomes. Special </w:t>
      </w:r>
      <w:r w:rsidR="00A27EB7" w:rsidRPr="00F81BF4">
        <w:rPr>
          <w:rFonts w:ascii="Times New Roman" w:hAnsi="Times New Roman" w:cs="Times New Roman"/>
          <w:sz w:val="24"/>
          <w:szCs w:val="24"/>
        </w:rPr>
        <w:t>education teachers have occurred as an essential segment when it com</w:t>
      </w:r>
      <w:r w:rsidR="008C6ED6" w:rsidRPr="00F81BF4">
        <w:rPr>
          <w:rFonts w:ascii="Times New Roman" w:hAnsi="Times New Roman" w:cs="Times New Roman"/>
          <w:sz w:val="24"/>
          <w:szCs w:val="24"/>
        </w:rPr>
        <w:t>es to the profession of special. The roles and responsibilities delegated to professional teachers in special education have substantially grown compared to the rate that it was previously growing.  However, this rate has not kept pace with the demand for the services that are to be offered by educators in high-leverage special education. This is because these teachers have been evolving continuously, which has resulted in the complexity of learners who are struggling unfold, alongside the need to serve well and improve outcomes for diverse students who have a varying disability.</w:t>
      </w:r>
    </w:p>
    <w:p w:rsidR="008C6ED6"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In many cases, </w:t>
      </w:r>
      <w:r w:rsidR="00D64A85" w:rsidRPr="00F81BF4">
        <w:rPr>
          <w:rFonts w:ascii="Times New Roman" w:hAnsi="Times New Roman" w:cs="Times New Roman"/>
          <w:sz w:val="24"/>
          <w:szCs w:val="24"/>
        </w:rPr>
        <w:t xml:space="preserve">high-leverage practices are set to help support learning with clarity and precision for teachers who are found in the education programs concerned with the improvement and upholding of students with special needs. When high-leverage practices are used in education programs in special education, they help support the students' emotional and social development. This has emerged as one of the essential factors of exercising high-leverage practices in special education because many people who are faced with disability, more so students, have been experiencing inadequate social and emotional development. With this, the victims are characterized by a weird behavior whereby they find it hard to interact with other people as a result of low self-esteem, </w:t>
      </w:r>
      <w:r w:rsidR="00EA28E3" w:rsidRPr="00F81BF4">
        <w:rPr>
          <w:rFonts w:ascii="Times New Roman" w:hAnsi="Times New Roman" w:cs="Times New Roman"/>
          <w:sz w:val="24"/>
          <w:szCs w:val="24"/>
        </w:rPr>
        <w:t>feeling unworthy, and developing negative attitudes towards many things despite how positive they mig</w:t>
      </w:r>
      <w:r w:rsidR="00F81BF4" w:rsidRPr="00F81BF4">
        <w:rPr>
          <w:rFonts w:ascii="Times New Roman" w:hAnsi="Times New Roman" w:cs="Times New Roman"/>
          <w:sz w:val="24"/>
          <w:szCs w:val="24"/>
        </w:rPr>
        <w:t>ht be to their day-to-day life</w:t>
      </w:r>
      <w:r w:rsidR="00F81BF4" w:rsidRPr="00F81BF4">
        <w:rPr>
          <w:rFonts w:ascii="Times New Roman" w:hAnsi="Times New Roman" w:cs="Times New Roman"/>
          <w:sz w:val="24"/>
          <w:szCs w:val="24"/>
          <w:shd w:val="clear" w:color="auto" w:fill="FFFFFF"/>
        </w:rPr>
        <w:t xml:space="preserve"> (Billingsley </w:t>
      </w:r>
      <w:r w:rsidR="00F81BF4" w:rsidRPr="00F81BF4">
        <w:rPr>
          <w:rFonts w:ascii="Times New Roman" w:hAnsi="Times New Roman" w:cs="Times New Roman"/>
          <w:i/>
          <w:sz w:val="24"/>
          <w:szCs w:val="24"/>
          <w:shd w:val="clear" w:color="auto" w:fill="FFFFFF"/>
        </w:rPr>
        <w:t xml:space="preserve">et al., </w:t>
      </w:r>
      <w:r w:rsidR="00F81BF4" w:rsidRPr="00F81BF4">
        <w:rPr>
          <w:rFonts w:ascii="Times New Roman" w:hAnsi="Times New Roman" w:cs="Times New Roman"/>
          <w:sz w:val="24"/>
          <w:szCs w:val="24"/>
          <w:shd w:val="clear" w:color="auto" w:fill="FFFFFF"/>
        </w:rPr>
        <w:t>2019).</w:t>
      </w:r>
    </w:p>
    <w:p w:rsidR="00930E09"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lastRenderedPageBreak/>
        <w:t xml:space="preserve">Collaboration, social, emotional, behavioral practices, and assessments are teaching techniques that should be enacted by educators in high-leverage practices for special education. These techniques should be well integrated to ensure that every student has been well considered to make him or her fit in the education system. In the special education profession, educators should practice collaboration. They should collaborate well with the students and the guardians of the student. This should be done to ensure that the educators have been familiarized </w:t>
      </w:r>
      <w:r w:rsidR="004C2F4B" w:rsidRPr="00F81BF4">
        <w:rPr>
          <w:rFonts w:ascii="Times New Roman" w:hAnsi="Times New Roman" w:cs="Times New Roman"/>
          <w:sz w:val="24"/>
          <w:szCs w:val="24"/>
        </w:rPr>
        <w:t>with challenges associated with students so that they can know how to handle the students well.</w:t>
      </w:r>
    </w:p>
    <w:p w:rsidR="004C2F4B"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In high-leverage practices for special education, assessment is appropriately used when educators need to interact with their students and the capabilities of each student. The evaluation should be done on every individual because everyone has varying character traits, and they should be done either wit</w:t>
      </w:r>
      <w:r w:rsidR="009A1620" w:rsidRPr="00F81BF4">
        <w:rPr>
          <w:rFonts w:ascii="Times New Roman" w:hAnsi="Times New Roman" w:cs="Times New Roman"/>
          <w:sz w:val="24"/>
          <w:szCs w:val="24"/>
        </w:rPr>
        <w:t xml:space="preserve">h or with no consent of the student. </w:t>
      </w:r>
      <w:r w:rsidRPr="00F81BF4">
        <w:rPr>
          <w:rFonts w:ascii="Times New Roman" w:hAnsi="Times New Roman" w:cs="Times New Roman"/>
          <w:sz w:val="24"/>
          <w:szCs w:val="24"/>
        </w:rPr>
        <w:t xml:space="preserve">With this, the educators will adequately address the students as an individual, </w:t>
      </w:r>
      <w:r w:rsidR="009A1620" w:rsidRPr="00F81BF4">
        <w:rPr>
          <w:rFonts w:ascii="Times New Roman" w:hAnsi="Times New Roman" w:cs="Times New Roman"/>
          <w:sz w:val="24"/>
          <w:szCs w:val="24"/>
        </w:rPr>
        <w:t>and they will feel appreciated and motivated to put more efforts into education because they have the capability of doing so. High-leverage practices for special education are mostly used when addressing behavioral practices in teaching institutions. For instance, it is used in the education profession when the educator wants to address</w:t>
      </w:r>
      <w:r w:rsidR="003D2AA9" w:rsidRPr="00F81BF4">
        <w:rPr>
          <w:rFonts w:ascii="Times New Roman" w:hAnsi="Times New Roman" w:cs="Times New Roman"/>
          <w:sz w:val="24"/>
          <w:szCs w:val="24"/>
        </w:rPr>
        <w:t xml:space="preserve"> the issue as to why students with disabilities are behaving differently, which might b</w:t>
      </w:r>
      <w:r w:rsidR="00F81BF4" w:rsidRPr="00F81BF4">
        <w:rPr>
          <w:rFonts w:ascii="Times New Roman" w:hAnsi="Times New Roman" w:cs="Times New Roman"/>
          <w:sz w:val="24"/>
          <w:szCs w:val="24"/>
        </w:rPr>
        <w:t>e probably caused by disorders</w:t>
      </w:r>
      <w:r w:rsidR="00F81BF4" w:rsidRPr="00F81BF4">
        <w:rPr>
          <w:rFonts w:ascii="Times New Roman" w:hAnsi="Times New Roman" w:cs="Times New Roman"/>
          <w:sz w:val="24"/>
          <w:szCs w:val="24"/>
          <w:shd w:val="clear" w:color="auto" w:fill="FFFFFF"/>
        </w:rPr>
        <w:t xml:space="preserve"> (Adamson, 2020). </w:t>
      </w:r>
    </w:p>
    <w:p w:rsidR="00CF5A8D" w:rsidRPr="00F81BF4" w:rsidRDefault="00555578" w:rsidP="00465A6F">
      <w:pPr>
        <w:spacing w:line="480" w:lineRule="auto"/>
        <w:ind w:firstLine="720"/>
        <w:jc w:val="center"/>
        <w:rPr>
          <w:rFonts w:ascii="Times New Roman" w:hAnsi="Times New Roman" w:cs="Times New Roman"/>
          <w:b/>
          <w:sz w:val="24"/>
          <w:szCs w:val="24"/>
        </w:rPr>
      </w:pPr>
      <w:r w:rsidRPr="00F81BF4">
        <w:rPr>
          <w:rFonts w:ascii="Times New Roman" w:hAnsi="Times New Roman" w:cs="Times New Roman"/>
          <w:b/>
          <w:sz w:val="24"/>
          <w:szCs w:val="24"/>
        </w:rPr>
        <w:t>Implications</w:t>
      </w:r>
    </w:p>
    <w:p w:rsidR="00CF5A8D"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In the implementation of high-leverage for special education, there are linguistic as well as cultural issues that are likely to be encountered. </w:t>
      </w:r>
      <w:r w:rsidR="00A22B57" w:rsidRPr="00F81BF4">
        <w:rPr>
          <w:rFonts w:ascii="Times New Roman" w:hAnsi="Times New Roman" w:cs="Times New Roman"/>
          <w:sz w:val="24"/>
          <w:szCs w:val="24"/>
        </w:rPr>
        <w:t xml:space="preserve">Students who have a disability are prone to more challenges in transitioning from primary schools to high schools than their peers without disabilities. Culturally, transition in high-leverage practices will have to bring changes in cultural issues because the educators in the primary schools might have been aware of some cultural issues </w:t>
      </w:r>
      <w:r w:rsidR="00A22B57" w:rsidRPr="00F81BF4">
        <w:rPr>
          <w:rFonts w:ascii="Times New Roman" w:hAnsi="Times New Roman" w:cs="Times New Roman"/>
          <w:sz w:val="24"/>
          <w:szCs w:val="24"/>
        </w:rPr>
        <w:lastRenderedPageBreak/>
        <w:t xml:space="preserve">concerning the </w:t>
      </w:r>
      <w:r w:rsidR="00980FB7" w:rsidRPr="00F81BF4">
        <w:rPr>
          <w:rFonts w:ascii="Times New Roman" w:hAnsi="Times New Roman" w:cs="Times New Roman"/>
          <w:sz w:val="24"/>
          <w:szCs w:val="24"/>
        </w:rPr>
        <w:t>disability, which might not be known by the teachers the students are going to meet in high school.</w:t>
      </w:r>
    </w:p>
    <w:p w:rsidR="00980FB7"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Linguistically, educators are familiarized with different norms of their students because they have interacted with them. Also, teachers can achieve this by interacting with the parents of the students. In the transition from primary school to high school, it means that the educators will have to learn each individual's linguistics, which is likely to take time. In high-leverage practices, there is the consideration of gender as well as age. In gender, more attention should </w:t>
      </w:r>
      <w:r w:rsidR="009F73A2" w:rsidRPr="00F81BF4">
        <w:rPr>
          <w:rFonts w:ascii="Times New Roman" w:hAnsi="Times New Roman" w:cs="Times New Roman"/>
          <w:sz w:val="24"/>
          <w:szCs w:val="24"/>
        </w:rPr>
        <w:t xml:space="preserve">be </w:t>
      </w:r>
      <w:r w:rsidRPr="00F81BF4">
        <w:rPr>
          <w:rFonts w:ascii="Times New Roman" w:hAnsi="Times New Roman" w:cs="Times New Roman"/>
          <w:sz w:val="24"/>
          <w:szCs w:val="24"/>
        </w:rPr>
        <w:t xml:space="preserve">given to females because they tend to be more sensitive, while attention should be granted in accordance to the age whereby the students should be </w:t>
      </w:r>
      <w:r w:rsidR="009F73A2" w:rsidRPr="00F81BF4">
        <w:rPr>
          <w:rFonts w:ascii="Times New Roman" w:hAnsi="Times New Roman" w:cs="Times New Roman"/>
          <w:sz w:val="24"/>
          <w:szCs w:val="24"/>
        </w:rPr>
        <w:t>set in a way by grouping them</w:t>
      </w:r>
      <w:r w:rsidRPr="00F81BF4">
        <w:rPr>
          <w:rFonts w:ascii="Times New Roman" w:hAnsi="Times New Roman" w:cs="Times New Roman"/>
          <w:sz w:val="24"/>
          <w:szCs w:val="24"/>
        </w:rPr>
        <w:t xml:space="preserve"> according to their age to help in giving educators easy time.  </w:t>
      </w:r>
    </w:p>
    <w:p w:rsidR="009F73A2" w:rsidRPr="00F81BF4" w:rsidRDefault="00555578" w:rsidP="00465A6F">
      <w:pPr>
        <w:spacing w:line="480" w:lineRule="auto"/>
        <w:ind w:firstLine="720"/>
        <w:jc w:val="center"/>
        <w:rPr>
          <w:rFonts w:ascii="Times New Roman" w:hAnsi="Times New Roman" w:cs="Times New Roman"/>
          <w:b/>
          <w:sz w:val="24"/>
          <w:szCs w:val="24"/>
        </w:rPr>
      </w:pPr>
      <w:r w:rsidRPr="00F81BF4">
        <w:rPr>
          <w:rFonts w:ascii="Times New Roman" w:hAnsi="Times New Roman" w:cs="Times New Roman"/>
          <w:b/>
          <w:sz w:val="24"/>
          <w:szCs w:val="24"/>
        </w:rPr>
        <w:t>Challenges</w:t>
      </w:r>
    </w:p>
    <w:p w:rsidR="009F73A2"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Because of the nature of high-leverage practices for special education, which involves handling students with a disability that can either be physical or mental, educators are likely to face several challenges when in line of duty. During the implementation of the high-leverage practices for special education, the teaching team, subordinate staff doing the cleaning for the students with a disability, and those monitoring them when not in class are likely going to get their job to be thankless as well as tiresome job. On the side of unrecognized, it might result from the fact that they struggle to keep watch on the students, enforce all efforts to ensure that the students strive well in their studies, and support every student clean. Still, when something terrible happens to one of the students accidentally, or if one of the students is found dirty, they are accused of being irresponsible despite the fact that they do all they can to keep the students safe despit</w:t>
      </w:r>
      <w:r w:rsidR="00F81BF4" w:rsidRPr="00F81BF4">
        <w:rPr>
          <w:rFonts w:ascii="Times New Roman" w:hAnsi="Times New Roman" w:cs="Times New Roman"/>
          <w:sz w:val="24"/>
          <w:szCs w:val="24"/>
        </w:rPr>
        <w:t>e the obstacles they encounter</w:t>
      </w:r>
      <w:r w:rsidR="00F81BF4" w:rsidRPr="00F81BF4">
        <w:rPr>
          <w:rFonts w:ascii="Times New Roman" w:hAnsi="Times New Roman" w:cs="Times New Roman"/>
          <w:sz w:val="24"/>
          <w:szCs w:val="24"/>
          <w:shd w:val="clear" w:color="auto" w:fill="FFFFFF"/>
        </w:rPr>
        <w:t xml:space="preserve"> (Banks, 2015). </w:t>
      </w:r>
    </w:p>
    <w:p w:rsidR="009F73A2"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lastRenderedPageBreak/>
        <w:t>For educators in educational institutions dealing with people with disability, they are responsible for many duties that are delegated to them. For example, they are responsible for ensuring that each st</w:t>
      </w:r>
      <w:r w:rsidR="00B52F6B" w:rsidRPr="00F81BF4">
        <w:rPr>
          <w:rFonts w:ascii="Times New Roman" w:hAnsi="Times New Roman" w:cs="Times New Roman"/>
          <w:sz w:val="24"/>
          <w:szCs w:val="24"/>
        </w:rPr>
        <w:t xml:space="preserve">udent has attended the classes. Even though it is not their duty to feed and clean the students, educators should ensure that they are well fed and ever clean. All these actions pose a challenge for educators because the responsibilities make the job more tiresome. </w:t>
      </w:r>
      <w:r w:rsidRPr="00F81BF4">
        <w:rPr>
          <w:rFonts w:ascii="Times New Roman" w:hAnsi="Times New Roman" w:cs="Times New Roman"/>
          <w:sz w:val="24"/>
          <w:szCs w:val="24"/>
        </w:rPr>
        <w:t xml:space="preserve"> </w:t>
      </w:r>
    </w:p>
    <w:p w:rsidR="00B52F6B" w:rsidRPr="00F81BF4" w:rsidRDefault="00555578" w:rsidP="00465A6F">
      <w:pPr>
        <w:spacing w:line="480" w:lineRule="auto"/>
        <w:ind w:firstLine="720"/>
        <w:jc w:val="center"/>
        <w:rPr>
          <w:rFonts w:ascii="Times New Roman" w:hAnsi="Times New Roman" w:cs="Times New Roman"/>
          <w:b/>
          <w:sz w:val="24"/>
          <w:szCs w:val="24"/>
        </w:rPr>
      </w:pPr>
      <w:r w:rsidRPr="00F81BF4">
        <w:rPr>
          <w:rFonts w:ascii="Times New Roman" w:hAnsi="Times New Roman" w:cs="Times New Roman"/>
          <w:b/>
          <w:sz w:val="24"/>
          <w:szCs w:val="24"/>
        </w:rPr>
        <w:t>Effectiveness</w:t>
      </w:r>
    </w:p>
    <w:p w:rsidR="00B52F6B"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In the effectiveness of high-leverage practices for special education, teachers in learning institutions dealing with students with disabilities are capable of knowing whether the high-leverage practice is working. However, this is enhanced in several ways. For instance, as an educator, I can understand that high-leverage practices are working when I see all students in my class and the whole institution feeling free and interacting with others well. Even though every teaching institution aims at students' performance, institutions dealing with high-leverage practices for special education happen to be a different case. This is because they mostly focus on ensuring that students are happy, well cared for, and free to interact well with oth</w:t>
      </w:r>
      <w:r w:rsidR="00F81BF4" w:rsidRPr="00F81BF4">
        <w:rPr>
          <w:rFonts w:ascii="Times New Roman" w:hAnsi="Times New Roman" w:cs="Times New Roman"/>
          <w:sz w:val="24"/>
          <w:szCs w:val="24"/>
        </w:rPr>
        <w:t>ers despite their disabilities</w:t>
      </w:r>
      <w:r w:rsidR="00F81BF4" w:rsidRPr="00F81BF4">
        <w:rPr>
          <w:rFonts w:ascii="Times New Roman" w:hAnsi="Times New Roman" w:cs="Times New Roman"/>
          <w:sz w:val="24"/>
          <w:szCs w:val="24"/>
          <w:shd w:val="clear" w:color="auto" w:fill="FFFFFF"/>
        </w:rPr>
        <w:t xml:space="preserve"> (Kauffman </w:t>
      </w:r>
      <w:r w:rsidR="00F81BF4" w:rsidRPr="00F81BF4">
        <w:rPr>
          <w:rFonts w:ascii="Times New Roman" w:hAnsi="Times New Roman" w:cs="Times New Roman"/>
          <w:i/>
          <w:sz w:val="24"/>
          <w:szCs w:val="24"/>
          <w:shd w:val="clear" w:color="auto" w:fill="FFFFFF"/>
        </w:rPr>
        <w:t xml:space="preserve">et al., </w:t>
      </w:r>
      <w:r w:rsidR="00F81BF4" w:rsidRPr="00F81BF4">
        <w:rPr>
          <w:rFonts w:ascii="Times New Roman" w:hAnsi="Times New Roman" w:cs="Times New Roman"/>
          <w:sz w:val="24"/>
          <w:szCs w:val="24"/>
          <w:shd w:val="clear" w:color="auto" w:fill="FFFFFF"/>
        </w:rPr>
        <w:t>2018). </w:t>
      </w:r>
    </w:p>
    <w:p w:rsidR="003378EB"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As a teacher, I can suggest that high-leverage practices for special education in educational institutions are working from students' understanding and performance. For students with disabilities to do well in performance, the teachers and the instructors have to ensure that they have done good assessments and addressed issues that might act as barriers to the students' understanding. However, for the students to do well in class, they have been addressed well; therefore, teachers can tell if high-leverage practices for special education are working through this.</w:t>
      </w:r>
    </w:p>
    <w:p w:rsidR="008735EE" w:rsidRPr="00F81BF4" w:rsidRDefault="00555578" w:rsidP="00465A6F">
      <w:pPr>
        <w:spacing w:line="480" w:lineRule="auto"/>
        <w:ind w:firstLine="720"/>
        <w:jc w:val="center"/>
        <w:rPr>
          <w:rFonts w:ascii="Times New Roman" w:hAnsi="Times New Roman" w:cs="Times New Roman"/>
          <w:b/>
          <w:sz w:val="24"/>
          <w:szCs w:val="24"/>
        </w:rPr>
      </w:pPr>
      <w:r w:rsidRPr="00F81BF4">
        <w:rPr>
          <w:rFonts w:ascii="Times New Roman" w:hAnsi="Times New Roman" w:cs="Times New Roman"/>
          <w:b/>
          <w:sz w:val="24"/>
          <w:szCs w:val="24"/>
        </w:rPr>
        <w:lastRenderedPageBreak/>
        <w:t>Conclusion</w:t>
      </w:r>
    </w:p>
    <w:p w:rsidR="00062E95"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 xml:space="preserve">High-leverage practice for special education has emerged as the best tool and technique that can be implemented in educational institutions that are dealing with students with disabilities. This is because it provides good measures that can be practiced to ensure that students feel appreciated, valued, and well cared for. This can be well illustrated from the way the students should be treated while in the educational institutions, which is likely to be improved by teachers' ability </w:t>
      </w:r>
      <w:r w:rsidR="00E01111" w:rsidRPr="00F81BF4">
        <w:rPr>
          <w:rFonts w:ascii="Times New Roman" w:hAnsi="Times New Roman" w:cs="Times New Roman"/>
          <w:sz w:val="24"/>
          <w:szCs w:val="24"/>
        </w:rPr>
        <w:t>to come up with new and better ways that can be used to deal with each individual.</w:t>
      </w:r>
    </w:p>
    <w:p w:rsidR="00E01111" w:rsidRPr="00F81BF4" w:rsidRDefault="00555578" w:rsidP="00F81BF4">
      <w:pPr>
        <w:spacing w:line="480" w:lineRule="auto"/>
        <w:ind w:firstLine="720"/>
        <w:jc w:val="both"/>
        <w:rPr>
          <w:rFonts w:ascii="Times New Roman" w:hAnsi="Times New Roman" w:cs="Times New Roman"/>
          <w:sz w:val="24"/>
          <w:szCs w:val="24"/>
        </w:rPr>
      </w:pPr>
      <w:r w:rsidRPr="00F81BF4">
        <w:rPr>
          <w:rFonts w:ascii="Times New Roman" w:hAnsi="Times New Roman" w:cs="Times New Roman"/>
          <w:sz w:val="24"/>
          <w:szCs w:val="24"/>
        </w:rPr>
        <w:t>I suggest that high-leverage practices for special education should be implemented to other teachers despite the challenges that might be incurred during the implementation. This is because it is going to improve the living standards as well as the performance of students with a disability while in the educational institutions, which is the main thing that should be given priority. I will use high-leverage practices for special education and its appealing aspects from its implementation in the future to ensure that there is the provision of ample times and conducive environment for students with disability in educational institutions so that to make them feel appreciated and recognized just like their peers who do not have a disability.</w:t>
      </w:r>
    </w:p>
    <w:p w:rsidR="00465A6F" w:rsidRDefault="00465A6F" w:rsidP="00F81BF4">
      <w:pPr>
        <w:spacing w:line="480" w:lineRule="auto"/>
        <w:ind w:firstLine="720"/>
        <w:jc w:val="both"/>
        <w:rPr>
          <w:rFonts w:ascii="Times New Roman" w:hAnsi="Times New Roman" w:cs="Times New Roman"/>
          <w:sz w:val="24"/>
          <w:szCs w:val="24"/>
        </w:rPr>
      </w:pPr>
    </w:p>
    <w:p w:rsidR="00465A6F" w:rsidRDefault="00465A6F" w:rsidP="00F81BF4">
      <w:pPr>
        <w:spacing w:line="480" w:lineRule="auto"/>
        <w:ind w:firstLine="720"/>
        <w:jc w:val="both"/>
        <w:rPr>
          <w:rFonts w:ascii="Times New Roman" w:hAnsi="Times New Roman" w:cs="Times New Roman"/>
          <w:sz w:val="24"/>
          <w:szCs w:val="24"/>
        </w:rPr>
      </w:pPr>
    </w:p>
    <w:p w:rsidR="00465A6F" w:rsidRDefault="00465A6F" w:rsidP="00F81BF4">
      <w:pPr>
        <w:spacing w:line="480" w:lineRule="auto"/>
        <w:ind w:firstLine="720"/>
        <w:jc w:val="both"/>
        <w:rPr>
          <w:rFonts w:ascii="Times New Roman" w:hAnsi="Times New Roman" w:cs="Times New Roman"/>
          <w:sz w:val="24"/>
          <w:szCs w:val="24"/>
        </w:rPr>
      </w:pPr>
    </w:p>
    <w:p w:rsidR="00465A6F" w:rsidRDefault="00465A6F" w:rsidP="00F81BF4">
      <w:pPr>
        <w:spacing w:line="480" w:lineRule="auto"/>
        <w:ind w:firstLine="720"/>
        <w:jc w:val="both"/>
        <w:rPr>
          <w:rFonts w:ascii="Times New Roman" w:hAnsi="Times New Roman" w:cs="Times New Roman"/>
          <w:sz w:val="24"/>
          <w:szCs w:val="24"/>
        </w:rPr>
      </w:pPr>
    </w:p>
    <w:p w:rsidR="00B52CCE" w:rsidRDefault="00B52CCE" w:rsidP="00465A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C34784" w:rsidRPr="00F81BF4" w:rsidRDefault="00555578" w:rsidP="00465A6F">
      <w:pPr>
        <w:spacing w:line="480" w:lineRule="auto"/>
        <w:ind w:firstLine="720"/>
        <w:jc w:val="center"/>
        <w:rPr>
          <w:rFonts w:ascii="Times New Roman" w:hAnsi="Times New Roman" w:cs="Times New Roman"/>
          <w:sz w:val="24"/>
          <w:szCs w:val="24"/>
        </w:rPr>
      </w:pPr>
      <w:r w:rsidRPr="00F81BF4">
        <w:rPr>
          <w:rFonts w:ascii="Times New Roman" w:hAnsi="Times New Roman" w:cs="Times New Roman"/>
          <w:sz w:val="24"/>
          <w:szCs w:val="24"/>
        </w:rPr>
        <w:lastRenderedPageBreak/>
        <w:t>Reference</w:t>
      </w:r>
    </w:p>
    <w:p w:rsidR="00465A6F" w:rsidRPr="00F81BF4" w:rsidRDefault="00555578" w:rsidP="00465A6F">
      <w:pPr>
        <w:spacing w:line="480" w:lineRule="auto"/>
        <w:ind w:left="720" w:hanging="720"/>
        <w:jc w:val="both"/>
        <w:rPr>
          <w:rFonts w:ascii="Times New Roman" w:hAnsi="Times New Roman" w:cs="Times New Roman"/>
          <w:sz w:val="24"/>
          <w:szCs w:val="24"/>
          <w:shd w:val="clear" w:color="auto" w:fill="FFFFFF"/>
        </w:rPr>
      </w:pPr>
      <w:r w:rsidRPr="00F81BF4">
        <w:rPr>
          <w:rFonts w:ascii="Times New Roman" w:hAnsi="Times New Roman" w:cs="Times New Roman"/>
          <w:sz w:val="24"/>
          <w:szCs w:val="24"/>
          <w:shd w:val="clear" w:color="auto" w:fill="FFFFFF"/>
        </w:rPr>
        <w:t>Adamson, S. (2020). </w:t>
      </w:r>
      <w:r w:rsidRPr="00F81BF4">
        <w:rPr>
          <w:rFonts w:ascii="Times New Roman" w:hAnsi="Times New Roman" w:cs="Times New Roman"/>
          <w:i/>
          <w:iCs/>
          <w:sz w:val="24"/>
          <w:szCs w:val="24"/>
          <w:shd w:val="clear" w:color="auto" w:fill="FFFFFF"/>
        </w:rPr>
        <w:t>Special Education Teachers’ Perception of Principals’ Knowledge and Skills about Special Education</w:t>
      </w:r>
      <w:r w:rsidRPr="00F81BF4">
        <w:rPr>
          <w:rFonts w:ascii="Times New Roman" w:hAnsi="Times New Roman" w:cs="Times New Roman"/>
          <w:sz w:val="24"/>
          <w:szCs w:val="24"/>
          <w:shd w:val="clear" w:color="auto" w:fill="FFFFFF"/>
        </w:rPr>
        <w:t> (Doctoral dissertation, Northcentral University).</w:t>
      </w:r>
    </w:p>
    <w:p w:rsidR="00465A6F" w:rsidRPr="00F81BF4" w:rsidRDefault="00555578" w:rsidP="00465A6F">
      <w:pPr>
        <w:spacing w:line="480" w:lineRule="auto"/>
        <w:ind w:left="720" w:hanging="720"/>
        <w:jc w:val="both"/>
        <w:rPr>
          <w:rFonts w:ascii="Times New Roman" w:hAnsi="Times New Roman" w:cs="Times New Roman"/>
          <w:sz w:val="24"/>
          <w:szCs w:val="24"/>
          <w:shd w:val="clear" w:color="auto" w:fill="FFFFFF"/>
        </w:rPr>
      </w:pPr>
      <w:r w:rsidRPr="00F81BF4">
        <w:rPr>
          <w:rFonts w:ascii="Times New Roman" w:hAnsi="Times New Roman" w:cs="Times New Roman"/>
          <w:sz w:val="24"/>
          <w:szCs w:val="24"/>
          <w:shd w:val="clear" w:color="auto" w:fill="FFFFFF"/>
        </w:rPr>
        <w:t>Banks, J. A. (2015). </w:t>
      </w:r>
      <w:r w:rsidRPr="00F81BF4">
        <w:rPr>
          <w:rFonts w:ascii="Times New Roman" w:hAnsi="Times New Roman" w:cs="Times New Roman"/>
          <w:i/>
          <w:iCs/>
          <w:sz w:val="24"/>
          <w:szCs w:val="24"/>
          <w:shd w:val="clear" w:color="auto" w:fill="FFFFFF"/>
        </w:rPr>
        <w:t>Cultural diversity and education: Foundations, curriculum, and teaching</w:t>
      </w:r>
      <w:r w:rsidRPr="00F81BF4">
        <w:rPr>
          <w:rFonts w:ascii="Times New Roman" w:hAnsi="Times New Roman" w:cs="Times New Roman"/>
          <w:sz w:val="24"/>
          <w:szCs w:val="24"/>
          <w:shd w:val="clear" w:color="auto" w:fill="FFFFFF"/>
        </w:rPr>
        <w:t>. Routledge.</w:t>
      </w:r>
    </w:p>
    <w:p w:rsidR="00465A6F" w:rsidRPr="00F81BF4" w:rsidRDefault="00555578" w:rsidP="00465A6F">
      <w:pPr>
        <w:spacing w:line="480" w:lineRule="auto"/>
        <w:ind w:left="720" w:hanging="720"/>
        <w:jc w:val="both"/>
        <w:rPr>
          <w:rFonts w:ascii="Times New Roman" w:hAnsi="Times New Roman" w:cs="Times New Roman"/>
          <w:sz w:val="24"/>
          <w:szCs w:val="24"/>
          <w:shd w:val="clear" w:color="auto" w:fill="FFFFFF"/>
        </w:rPr>
      </w:pPr>
      <w:r w:rsidRPr="00F81BF4">
        <w:rPr>
          <w:rFonts w:ascii="Times New Roman" w:hAnsi="Times New Roman" w:cs="Times New Roman"/>
          <w:sz w:val="24"/>
          <w:szCs w:val="24"/>
          <w:shd w:val="clear" w:color="auto" w:fill="FFFFFF"/>
        </w:rPr>
        <w:t>Billingsley, B., Bettini, E., &amp; Jones, N. D. (2019). Supporting special education teacher induction through high-leverage practices. </w:t>
      </w:r>
      <w:r w:rsidRPr="00F81BF4">
        <w:rPr>
          <w:rFonts w:ascii="Times New Roman" w:hAnsi="Times New Roman" w:cs="Times New Roman"/>
          <w:i/>
          <w:iCs/>
          <w:sz w:val="24"/>
          <w:szCs w:val="24"/>
          <w:shd w:val="clear" w:color="auto" w:fill="FFFFFF"/>
        </w:rPr>
        <w:t>Remedial and Special Education</w:t>
      </w:r>
      <w:r w:rsidRPr="00F81BF4">
        <w:rPr>
          <w:rFonts w:ascii="Times New Roman" w:hAnsi="Times New Roman" w:cs="Times New Roman"/>
          <w:sz w:val="24"/>
          <w:szCs w:val="24"/>
          <w:shd w:val="clear" w:color="auto" w:fill="FFFFFF"/>
        </w:rPr>
        <w:t>, </w:t>
      </w:r>
      <w:r w:rsidRPr="00F81BF4">
        <w:rPr>
          <w:rFonts w:ascii="Times New Roman" w:hAnsi="Times New Roman" w:cs="Times New Roman"/>
          <w:i/>
          <w:iCs/>
          <w:sz w:val="24"/>
          <w:szCs w:val="24"/>
          <w:shd w:val="clear" w:color="auto" w:fill="FFFFFF"/>
        </w:rPr>
        <w:t>40</w:t>
      </w:r>
      <w:r w:rsidRPr="00F81BF4">
        <w:rPr>
          <w:rFonts w:ascii="Times New Roman" w:hAnsi="Times New Roman" w:cs="Times New Roman"/>
          <w:sz w:val="24"/>
          <w:szCs w:val="24"/>
          <w:shd w:val="clear" w:color="auto" w:fill="FFFFFF"/>
        </w:rPr>
        <w:t>(6), 365-379.</w:t>
      </w:r>
    </w:p>
    <w:p w:rsidR="00465A6F" w:rsidRPr="00F81BF4" w:rsidRDefault="00555578" w:rsidP="00465A6F">
      <w:pPr>
        <w:spacing w:line="480" w:lineRule="auto"/>
        <w:ind w:left="720" w:hanging="720"/>
        <w:jc w:val="both"/>
        <w:rPr>
          <w:rFonts w:ascii="Times New Roman" w:hAnsi="Times New Roman" w:cs="Times New Roman"/>
          <w:sz w:val="24"/>
          <w:szCs w:val="24"/>
          <w:shd w:val="clear" w:color="auto" w:fill="FFFFFF"/>
        </w:rPr>
      </w:pPr>
      <w:r w:rsidRPr="00F81BF4">
        <w:rPr>
          <w:rFonts w:ascii="Times New Roman" w:hAnsi="Times New Roman" w:cs="Times New Roman"/>
          <w:sz w:val="24"/>
          <w:szCs w:val="24"/>
          <w:shd w:val="clear" w:color="auto" w:fill="FFFFFF"/>
        </w:rPr>
        <w:t>Kauffman, J. M., Hallahan, D. P., Pullen, P. C., &amp; Badar, J. (2018). </w:t>
      </w:r>
      <w:r w:rsidRPr="00F81BF4">
        <w:rPr>
          <w:rFonts w:ascii="Times New Roman" w:hAnsi="Times New Roman" w:cs="Times New Roman"/>
          <w:i/>
          <w:iCs/>
          <w:sz w:val="24"/>
          <w:szCs w:val="24"/>
          <w:shd w:val="clear" w:color="auto" w:fill="FFFFFF"/>
        </w:rPr>
        <w:t>Special education: What it is and why we need it</w:t>
      </w:r>
      <w:r w:rsidRPr="00F81BF4">
        <w:rPr>
          <w:rFonts w:ascii="Times New Roman" w:hAnsi="Times New Roman" w:cs="Times New Roman"/>
          <w:sz w:val="24"/>
          <w:szCs w:val="24"/>
          <w:shd w:val="clear" w:color="auto" w:fill="FFFFFF"/>
        </w:rPr>
        <w:t>. Routledge.</w:t>
      </w:r>
    </w:p>
    <w:p w:rsidR="00465A6F" w:rsidRPr="00F81BF4" w:rsidRDefault="00555578" w:rsidP="00465A6F">
      <w:pPr>
        <w:spacing w:line="480" w:lineRule="auto"/>
        <w:ind w:left="720" w:hanging="720"/>
        <w:jc w:val="both"/>
        <w:rPr>
          <w:rFonts w:ascii="Times New Roman" w:hAnsi="Times New Roman" w:cs="Times New Roman"/>
          <w:sz w:val="24"/>
          <w:szCs w:val="24"/>
          <w:shd w:val="clear" w:color="auto" w:fill="FFFFFF"/>
        </w:rPr>
      </w:pPr>
      <w:r w:rsidRPr="00F81BF4">
        <w:rPr>
          <w:rFonts w:ascii="Times New Roman" w:hAnsi="Times New Roman" w:cs="Times New Roman"/>
          <w:sz w:val="24"/>
          <w:szCs w:val="24"/>
          <w:shd w:val="clear" w:color="auto" w:fill="FFFFFF"/>
        </w:rPr>
        <w:t xml:space="preserve">McLeskey, J., Council for Exceptional Children, &amp; Collaboration for Effective Educator Development, Accountability, and Reform. (, 2017). </w:t>
      </w:r>
      <w:r w:rsidRPr="00F81BF4">
        <w:rPr>
          <w:rFonts w:ascii="Times New Roman" w:hAnsi="Times New Roman" w:cs="Times New Roman"/>
          <w:i/>
          <w:iCs/>
          <w:sz w:val="24"/>
          <w:szCs w:val="24"/>
          <w:shd w:val="clear" w:color="auto" w:fill="FFFFFF"/>
        </w:rPr>
        <w:t>High-leverage practices in special education</w:t>
      </w:r>
      <w:r w:rsidRPr="00F81BF4">
        <w:rPr>
          <w:rFonts w:ascii="Times New Roman" w:hAnsi="Times New Roman" w:cs="Times New Roman"/>
          <w:sz w:val="24"/>
          <w:szCs w:val="24"/>
          <w:shd w:val="clear" w:color="auto" w:fill="FFFFFF"/>
        </w:rPr>
        <w:t>. Arlington, VA: Council for Exceptional Children</w:t>
      </w:r>
    </w:p>
    <w:sectPr w:rsidR="00465A6F" w:rsidRPr="00F81BF4" w:rsidSect="00F81B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C29" w:rsidRDefault="00783C29">
      <w:pPr>
        <w:spacing w:after="0" w:line="240" w:lineRule="auto"/>
      </w:pPr>
      <w:r>
        <w:separator/>
      </w:r>
    </w:p>
  </w:endnote>
  <w:endnote w:type="continuationSeparator" w:id="0">
    <w:p w:rsidR="00783C29" w:rsidRDefault="00783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C29" w:rsidRDefault="00783C29">
      <w:pPr>
        <w:spacing w:after="0" w:line="240" w:lineRule="auto"/>
      </w:pPr>
      <w:r>
        <w:separator/>
      </w:r>
    </w:p>
  </w:footnote>
  <w:footnote w:type="continuationSeparator" w:id="0">
    <w:p w:rsidR="00783C29" w:rsidRDefault="00783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36039668"/>
      <w:docPartObj>
        <w:docPartGallery w:val="Page Numbers (Top of Page)"/>
        <w:docPartUnique/>
      </w:docPartObj>
    </w:sdtPr>
    <w:sdtEndPr>
      <w:rPr>
        <w:noProof/>
      </w:rPr>
    </w:sdtEndPr>
    <w:sdtContent>
      <w:p w:rsidR="00F81BF4" w:rsidRPr="00F81BF4" w:rsidRDefault="00555578" w:rsidP="00F81BF4">
        <w:pPr>
          <w:pStyle w:val="Header"/>
          <w:spacing w:line="480" w:lineRule="auto"/>
          <w:jc w:val="right"/>
          <w:rPr>
            <w:rFonts w:ascii="Times New Roman" w:hAnsi="Times New Roman" w:cs="Times New Roman"/>
            <w:sz w:val="24"/>
            <w:szCs w:val="24"/>
          </w:rPr>
        </w:pPr>
        <w:r w:rsidRPr="00F81BF4">
          <w:rPr>
            <w:rFonts w:ascii="Times New Roman" w:hAnsi="Times New Roman" w:cs="Times New Roman"/>
            <w:sz w:val="24"/>
            <w:szCs w:val="24"/>
          </w:rPr>
          <w:t>HIGH-LEVERAGE PRACTICES FOR SPECIAL EDUCATION</w:t>
        </w:r>
        <w:r w:rsidRPr="00F81BF4">
          <w:rPr>
            <w:rFonts w:ascii="Times New Roman" w:hAnsi="Times New Roman" w:cs="Times New Roman"/>
            <w:sz w:val="24"/>
            <w:szCs w:val="24"/>
          </w:rPr>
          <w:tab/>
        </w:r>
        <w:r w:rsidRPr="00F81BF4">
          <w:rPr>
            <w:rFonts w:ascii="Times New Roman" w:hAnsi="Times New Roman" w:cs="Times New Roman"/>
            <w:sz w:val="24"/>
            <w:szCs w:val="24"/>
          </w:rPr>
          <w:fldChar w:fldCharType="begin"/>
        </w:r>
        <w:r w:rsidRPr="00F81BF4">
          <w:rPr>
            <w:rFonts w:ascii="Times New Roman" w:hAnsi="Times New Roman" w:cs="Times New Roman"/>
            <w:sz w:val="24"/>
            <w:szCs w:val="24"/>
          </w:rPr>
          <w:instrText xml:space="preserve"> PAGE   \* MERGEFORMAT </w:instrText>
        </w:r>
        <w:r w:rsidRPr="00F81BF4">
          <w:rPr>
            <w:rFonts w:ascii="Times New Roman" w:hAnsi="Times New Roman" w:cs="Times New Roman"/>
            <w:sz w:val="24"/>
            <w:szCs w:val="24"/>
          </w:rPr>
          <w:fldChar w:fldCharType="separate"/>
        </w:r>
        <w:r w:rsidR="002324D9">
          <w:rPr>
            <w:rFonts w:ascii="Times New Roman" w:hAnsi="Times New Roman" w:cs="Times New Roman"/>
            <w:noProof/>
            <w:sz w:val="24"/>
            <w:szCs w:val="24"/>
          </w:rPr>
          <w:t>2</w:t>
        </w:r>
        <w:r w:rsidRPr="00F81BF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BF4" w:rsidRPr="00F81BF4" w:rsidRDefault="00555578" w:rsidP="00F81BF4">
    <w:pPr>
      <w:pStyle w:val="Header"/>
      <w:spacing w:line="480" w:lineRule="auto"/>
      <w:rPr>
        <w:rFonts w:ascii="Times New Roman" w:hAnsi="Times New Roman" w:cs="Times New Roman"/>
        <w:sz w:val="24"/>
        <w:szCs w:val="24"/>
      </w:rPr>
    </w:pPr>
    <w:r w:rsidRPr="00F81BF4">
      <w:rPr>
        <w:rFonts w:ascii="Times New Roman" w:hAnsi="Times New Roman" w:cs="Times New Roman"/>
        <w:sz w:val="24"/>
        <w:szCs w:val="24"/>
      </w:rPr>
      <w:t>Running Head: HIGH-LEVERAGE PRACTICES FOR SPECIAL EDUCATION</w:t>
    </w:r>
    <w:r w:rsidRPr="00F81BF4">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21C9F"/>
    <w:multiLevelType w:val="hybridMultilevel"/>
    <w:tmpl w:val="89BC61E6"/>
    <w:lvl w:ilvl="0" w:tplc="B7747074">
      <w:start w:val="1"/>
      <w:numFmt w:val="bullet"/>
      <w:lvlText w:val=""/>
      <w:lvlJc w:val="left"/>
      <w:pPr>
        <w:ind w:left="720" w:hanging="360"/>
      </w:pPr>
      <w:rPr>
        <w:rFonts w:ascii="Wingdings" w:hAnsi="Wingdings" w:hint="default"/>
      </w:rPr>
    </w:lvl>
    <w:lvl w:ilvl="1" w:tplc="84148C74" w:tentative="1">
      <w:start w:val="1"/>
      <w:numFmt w:val="bullet"/>
      <w:lvlText w:val="o"/>
      <w:lvlJc w:val="left"/>
      <w:pPr>
        <w:ind w:left="1440" w:hanging="360"/>
      </w:pPr>
      <w:rPr>
        <w:rFonts w:ascii="Courier New" w:hAnsi="Courier New" w:cs="Courier New" w:hint="default"/>
      </w:rPr>
    </w:lvl>
    <w:lvl w:ilvl="2" w:tplc="BFDAC9A6" w:tentative="1">
      <w:start w:val="1"/>
      <w:numFmt w:val="bullet"/>
      <w:lvlText w:val=""/>
      <w:lvlJc w:val="left"/>
      <w:pPr>
        <w:ind w:left="2160" w:hanging="360"/>
      </w:pPr>
      <w:rPr>
        <w:rFonts w:ascii="Wingdings" w:hAnsi="Wingdings" w:hint="default"/>
      </w:rPr>
    </w:lvl>
    <w:lvl w:ilvl="3" w:tplc="75F48F9C" w:tentative="1">
      <w:start w:val="1"/>
      <w:numFmt w:val="bullet"/>
      <w:lvlText w:val=""/>
      <w:lvlJc w:val="left"/>
      <w:pPr>
        <w:ind w:left="2880" w:hanging="360"/>
      </w:pPr>
      <w:rPr>
        <w:rFonts w:ascii="Symbol" w:hAnsi="Symbol" w:hint="default"/>
      </w:rPr>
    </w:lvl>
    <w:lvl w:ilvl="4" w:tplc="E6A01BAE" w:tentative="1">
      <w:start w:val="1"/>
      <w:numFmt w:val="bullet"/>
      <w:lvlText w:val="o"/>
      <w:lvlJc w:val="left"/>
      <w:pPr>
        <w:ind w:left="3600" w:hanging="360"/>
      </w:pPr>
      <w:rPr>
        <w:rFonts w:ascii="Courier New" w:hAnsi="Courier New" w:cs="Courier New" w:hint="default"/>
      </w:rPr>
    </w:lvl>
    <w:lvl w:ilvl="5" w:tplc="2FCE563A" w:tentative="1">
      <w:start w:val="1"/>
      <w:numFmt w:val="bullet"/>
      <w:lvlText w:val=""/>
      <w:lvlJc w:val="left"/>
      <w:pPr>
        <w:ind w:left="4320" w:hanging="360"/>
      </w:pPr>
      <w:rPr>
        <w:rFonts w:ascii="Wingdings" w:hAnsi="Wingdings" w:hint="default"/>
      </w:rPr>
    </w:lvl>
    <w:lvl w:ilvl="6" w:tplc="4BCE94E0" w:tentative="1">
      <w:start w:val="1"/>
      <w:numFmt w:val="bullet"/>
      <w:lvlText w:val=""/>
      <w:lvlJc w:val="left"/>
      <w:pPr>
        <w:ind w:left="5040" w:hanging="360"/>
      </w:pPr>
      <w:rPr>
        <w:rFonts w:ascii="Symbol" w:hAnsi="Symbol" w:hint="default"/>
      </w:rPr>
    </w:lvl>
    <w:lvl w:ilvl="7" w:tplc="CD14FE12" w:tentative="1">
      <w:start w:val="1"/>
      <w:numFmt w:val="bullet"/>
      <w:lvlText w:val="o"/>
      <w:lvlJc w:val="left"/>
      <w:pPr>
        <w:ind w:left="5760" w:hanging="360"/>
      </w:pPr>
      <w:rPr>
        <w:rFonts w:ascii="Courier New" w:hAnsi="Courier New" w:cs="Courier New" w:hint="default"/>
      </w:rPr>
    </w:lvl>
    <w:lvl w:ilvl="8" w:tplc="85E07252" w:tentative="1">
      <w:start w:val="1"/>
      <w:numFmt w:val="bullet"/>
      <w:lvlText w:val=""/>
      <w:lvlJc w:val="left"/>
      <w:pPr>
        <w:ind w:left="6480" w:hanging="360"/>
      </w:pPr>
      <w:rPr>
        <w:rFonts w:ascii="Wingdings" w:hAnsi="Wingdings" w:hint="default"/>
      </w:rPr>
    </w:lvl>
  </w:abstractNum>
  <w:abstractNum w:abstractNumId="1" w15:restartNumberingAfterBreak="0">
    <w:nsid w:val="250A2796"/>
    <w:multiLevelType w:val="hybridMultilevel"/>
    <w:tmpl w:val="A33835FA"/>
    <w:lvl w:ilvl="0" w:tplc="EC6A3750">
      <w:start w:val="1"/>
      <w:numFmt w:val="bullet"/>
      <w:lvlText w:val=""/>
      <w:lvlJc w:val="left"/>
      <w:pPr>
        <w:ind w:left="720" w:hanging="360"/>
      </w:pPr>
      <w:rPr>
        <w:rFonts w:ascii="Wingdings" w:hAnsi="Wingdings" w:hint="default"/>
      </w:rPr>
    </w:lvl>
    <w:lvl w:ilvl="1" w:tplc="7CEE5562" w:tentative="1">
      <w:start w:val="1"/>
      <w:numFmt w:val="bullet"/>
      <w:lvlText w:val="o"/>
      <w:lvlJc w:val="left"/>
      <w:pPr>
        <w:ind w:left="1440" w:hanging="360"/>
      </w:pPr>
      <w:rPr>
        <w:rFonts w:ascii="Courier New" w:hAnsi="Courier New" w:cs="Courier New" w:hint="default"/>
      </w:rPr>
    </w:lvl>
    <w:lvl w:ilvl="2" w:tplc="14F45B2A" w:tentative="1">
      <w:start w:val="1"/>
      <w:numFmt w:val="bullet"/>
      <w:lvlText w:val=""/>
      <w:lvlJc w:val="left"/>
      <w:pPr>
        <w:ind w:left="2160" w:hanging="360"/>
      </w:pPr>
      <w:rPr>
        <w:rFonts w:ascii="Wingdings" w:hAnsi="Wingdings" w:hint="default"/>
      </w:rPr>
    </w:lvl>
    <w:lvl w:ilvl="3" w:tplc="EF10F236" w:tentative="1">
      <w:start w:val="1"/>
      <w:numFmt w:val="bullet"/>
      <w:lvlText w:val=""/>
      <w:lvlJc w:val="left"/>
      <w:pPr>
        <w:ind w:left="2880" w:hanging="360"/>
      </w:pPr>
      <w:rPr>
        <w:rFonts w:ascii="Symbol" w:hAnsi="Symbol" w:hint="default"/>
      </w:rPr>
    </w:lvl>
    <w:lvl w:ilvl="4" w:tplc="C90205CE" w:tentative="1">
      <w:start w:val="1"/>
      <w:numFmt w:val="bullet"/>
      <w:lvlText w:val="o"/>
      <w:lvlJc w:val="left"/>
      <w:pPr>
        <w:ind w:left="3600" w:hanging="360"/>
      </w:pPr>
      <w:rPr>
        <w:rFonts w:ascii="Courier New" w:hAnsi="Courier New" w:cs="Courier New" w:hint="default"/>
      </w:rPr>
    </w:lvl>
    <w:lvl w:ilvl="5" w:tplc="2E62B360" w:tentative="1">
      <w:start w:val="1"/>
      <w:numFmt w:val="bullet"/>
      <w:lvlText w:val=""/>
      <w:lvlJc w:val="left"/>
      <w:pPr>
        <w:ind w:left="4320" w:hanging="360"/>
      </w:pPr>
      <w:rPr>
        <w:rFonts w:ascii="Wingdings" w:hAnsi="Wingdings" w:hint="default"/>
      </w:rPr>
    </w:lvl>
    <w:lvl w:ilvl="6" w:tplc="16F078D4" w:tentative="1">
      <w:start w:val="1"/>
      <w:numFmt w:val="bullet"/>
      <w:lvlText w:val=""/>
      <w:lvlJc w:val="left"/>
      <w:pPr>
        <w:ind w:left="5040" w:hanging="360"/>
      </w:pPr>
      <w:rPr>
        <w:rFonts w:ascii="Symbol" w:hAnsi="Symbol" w:hint="default"/>
      </w:rPr>
    </w:lvl>
    <w:lvl w:ilvl="7" w:tplc="EA660902" w:tentative="1">
      <w:start w:val="1"/>
      <w:numFmt w:val="bullet"/>
      <w:lvlText w:val="o"/>
      <w:lvlJc w:val="left"/>
      <w:pPr>
        <w:ind w:left="5760" w:hanging="360"/>
      </w:pPr>
      <w:rPr>
        <w:rFonts w:ascii="Courier New" w:hAnsi="Courier New" w:cs="Courier New" w:hint="default"/>
      </w:rPr>
    </w:lvl>
    <w:lvl w:ilvl="8" w:tplc="ED300BC4" w:tentative="1">
      <w:start w:val="1"/>
      <w:numFmt w:val="bullet"/>
      <w:lvlText w:val=""/>
      <w:lvlJc w:val="left"/>
      <w:pPr>
        <w:ind w:left="6480" w:hanging="360"/>
      </w:pPr>
      <w:rPr>
        <w:rFonts w:ascii="Wingdings" w:hAnsi="Wingdings" w:hint="default"/>
      </w:rPr>
    </w:lvl>
  </w:abstractNum>
  <w:abstractNum w:abstractNumId="2" w15:restartNumberingAfterBreak="0">
    <w:nsid w:val="3BC07733"/>
    <w:multiLevelType w:val="hybridMultilevel"/>
    <w:tmpl w:val="4FFAB0EE"/>
    <w:lvl w:ilvl="0" w:tplc="6616EE4A">
      <w:start w:val="1"/>
      <w:numFmt w:val="bullet"/>
      <w:lvlText w:val=""/>
      <w:lvlJc w:val="left"/>
      <w:pPr>
        <w:ind w:left="720" w:hanging="360"/>
      </w:pPr>
      <w:rPr>
        <w:rFonts w:ascii="Wingdings" w:hAnsi="Wingdings" w:hint="default"/>
      </w:rPr>
    </w:lvl>
    <w:lvl w:ilvl="1" w:tplc="2A7E737C" w:tentative="1">
      <w:start w:val="1"/>
      <w:numFmt w:val="bullet"/>
      <w:lvlText w:val="o"/>
      <w:lvlJc w:val="left"/>
      <w:pPr>
        <w:ind w:left="1440" w:hanging="360"/>
      </w:pPr>
      <w:rPr>
        <w:rFonts w:ascii="Courier New" w:hAnsi="Courier New" w:cs="Courier New" w:hint="default"/>
      </w:rPr>
    </w:lvl>
    <w:lvl w:ilvl="2" w:tplc="D1705562" w:tentative="1">
      <w:start w:val="1"/>
      <w:numFmt w:val="bullet"/>
      <w:lvlText w:val=""/>
      <w:lvlJc w:val="left"/>
      <w:pPr>
        <w:ind w:left="2160" w:hanging="360"/>
      </w:pPr>
      <w:rPr>
        <w:rFonts w:ascii="Wingdings" w:hAnsi="Wingdings" w:hint="default"/>
      </w:rPr>
    </w:lvl>
    <w:lvl w:ilvl="3" w:tplc="F2C2BE20" w:tentative="1">
      <w:start w:val="1"/>
      <w:numFmt w:val="bullet"/>
      <w:lvlText w:val=""/>
      <w:lvlJc w:val="left"/>
      <w:pPr>
        <w:ind w:left="2880" w:hanging="360"/>
      </w:pPr>
      <w:rPr>
        <w:rFonts w:ascii="Symbol" w:hAnsi="Symbol" w:hint="default"/>
      </w:rPr>
    </w:lvl>
    <w:lvl w:ilvl="4" w:tplc="51743CF4" w:tentative="1">
      <w:start w:val="1"/>
      <w:numFmt w:val="bullet"/>
      <w:lvlText w:val="o"/>
      <w:lvlJc w:val="left"/>
      <w:pPr>
        <w:ind w:left="3600" w:hanging="360"/>
      </w:pPr>
      <w:rPr>
        <w:rFonts w:ascii="Courier New" w:hAnsi="Courier New" w:cs="Courier New" w:hint="default"/>
      </w:rPr>
    </w:lvl>
    <w:lvl w:ilvl="5" w:tplc="EA542A4A" w:tentative="1">
      <w:start w:val="1"/>
      <w:numFmt w:val="bullet"/>
      <w:lvlText w:val=""/>
      <w:lvlJc w:val="left"/>
      <w:pPr>
        <w:ind w:left="4320" w:hanging="360"/>
      </w:pPr>
      <w:rPr>
        <w:rFonts w:ascii="Wingdings" w:hAnsi="Wingdings" w:hint="default"/>
      </w:rPr>
    </w:lvl>
    <w:lvl w:ilvl="6" w:tplc="9BCEA6B4" w:tentative="1">
      <w:start w:val="1"/>
      <w:numFmt w:val="bullet"/>
      <w:lvlText w:val=""/>
      <w:lvlJc w:val="left"/>
      <w:pPr>
        <w:ind w:left="5040" w:hanging="360"/>
      </w:pPr>
      <w:rPr>
        <w:rFonts w:ascii="Symbol" w:hAnsi="Symbol" w:hint="default"/>
      </w:rPr>
    </w:lvl>
    <w:lvl w:ilvl="7" w:tplc="DD940A7C" w:tentative="1">
      <w:start w:val="1"/>
      <w:numFmt w:val="bullet"/>
      <w:lvlText w:val="o"/>
      <w:lvlJc w:val="left"/>
      <w:pPr>
        <w:ind w:left="5760" w:hanging="360"/>
      </w:pPr>
      <w:rPr>
        <w:rFonts w:ascii="Courier New" w:hAnsi="Courier New" w:cs="Courier New" w:hint="default"/>
      </w:rPr>
    </w:lvl>
    <w:lvl w:ilvl="8" w:tplc="A5F2E662" w:tentative="1">
      <w:start w:val="1"/>
      <w:numFmt w:val="bullet"/>
      <w:lvlText w:val=""/>
      <w:lvlJc w:val="left"/>
      <w:pPr>
        <w:ind w:left="6480" w:hanging="360"/>
      </w:pPr>
      <w:rPr>
        <w:rFonts w:ascii="Wingdings" w:hAnsi="Wingdings" w:hint="default"/>
      </w:rPr>
    </w:lvl>
  </w:abstractNum>
  <w:abstractNum w:abstractNumId="3" w15:restartNumberingAfterBreak="0">
    <w:nsid w:val="57870D06"/>
    <w:multiLevelType w:val="hybridMultilevel"/>
    <w:tmpl w:val="A98CD37E"/>
    <w:lvl w:ilvl="0" w:tplc="B5342894">
      <w:start w:val="1"/>
      <w:numFmt w:val="bullet"/>
      <w:lvlText w:val=""/>
      <w:lvlJc w:val="left"/>
      <w:pPr>
        <w:ind w:left="720" w:hanging="360"/>
      </w:pPr>
      <w:rPr>
        <w:rFonts w:ascii="Wingdings" w:hAnsi="Wingdings" w:hint="default"/>
      </w:rPr>
    </w:lvl>
    <w:lvl w:ilvl="1" w:tplc="27B261F4" w:tentative="1">
      <w:start w:val="1"/>
      <w:numFmt w:val="bullet"/>
      <w:lvlText w:val="o"/>
      <w:lvlJc w:val="left"/>
      <w:pPr>
        <w:ind w:left="1440" w:hanging="360"/>
      </w:pPr>
      <w:rPr>
        <w:rFonts w:ascii="Courier New" w:hAnsi="Courier New" w:cs="Courier New" w:hint="default"/>
      </w:rPr>
    </w:lvl>
    <w:lvl w:ilvl="2" w:tplc="540CDB4A" w:tentative="1">
      <w:start w:val="1"/>
      <w:numFmt w:val="bullet"/>
      <w:lvlText w:val=""/>
      <w:lvlJc w:val="left"/>
      <w:pPr>
        <w:ind w:left="2160" w:hanging="360"/>
      </w:pPr>
      <w:rPr>
        <w:rFonts w:ascii="Wingdings" w:hAnsi="Wingdings" w:hint="default"/>
      </w:rPr>
    </w:lvl>
    <w:lvl w:ilvl="3" w:tplc="24C4CF28" w:tentative="1">
      <w:start w:val="1"/>
      <w:numFmt w:val="bullet"/>
      <w:lvlText w:val=""/>
      <w:lvlJc w:val="left"/>
      <w:pPr>
        <w:ind w:left="2880" w:hanging="360"/>
      </w:pPr>
      <w:rPr>
        <w:rFonts w:ascii="Symbol" w:hAnsi="Symbol" w:hint="default"/>
      </w:rPr>
    </w:lvl>
    <w:lvl w:ilvl="4" w:tplc="ABD830B2" w:tentative="1">
      <w:start w:val="1"/>
      <w:numFmt w:val="bullet"/>
      <w:lvlText w:val="o"/>
      <w:lvlJc w:val="left"/>
      <w:pPr>
        <w:ind w:left="3600" w:hanging="360"/>
      </w:pPr>
      <w:rPr>
        <w:rFonts w:ascii="Courier New" w:hAnsi="Courier New" w:cs="Courier New" w:hint="default"/>
      </w:rPr>
    </w:lvl>
    <w:lvl w:ilvl="5" w:tplc="8CE84A86" w:tentative="1">
      <w:start w:val="1"/>
      <w:numFmt w:val="bullet"/>
      <w:lvlText w:val=""/>
      <w:lvlJc w:val="left"/>
      <w:pPr>
        <w:ind w:left="4320" w:hanging="360"/>
      </w:pPr>
      <w:rPr>
        <w:rFonts w:ascii="Wingdings" w:hAnsi="Wingdings" w:hint="default"/>
      </w:rPr>
    </w:lvl>
    <w:lvl w:ilvl="6" w:tplc="5486FAB0" w:tentative="1">
      <w:start w:val="1"/>
      <w:numFmt w:val="bullet"/>
      <w:lvlText w:val=""/>
      <w:lvlJc w:val="left"/>
      <w:pPr>
        <w:ind w:left="5040" w:hanging="360"/>
      </w:pPr>
      <w:rPr>
        <w:rFonts w:ascii="Symbol" w:hAnsi="Symbol" w:hint="default"/>
      </w:rPr>
    </w:lvl>
    <w:lvl w:ilvl="7" w:tplc="E3B2A584" w:tentative="1">
      <w:start w:val="1"/>
      <w:numFmt w:val="bullet"/>
      <w:lvlText w:val="o"/>
      <w:lvlJc w:val="left"/>
      <w:pPr>
        <w:ind w:left="5760" w:hanging="360"/>
      </w:pPr>
      <w:rPr>
        <w:rFonts w:ascii="Courier New" w:hAnsi="Courier New" w:cs="Courier New" w:hint="default"/>
      </w:rPr>
    </w:lvl>
    <w:lvl w:ilvl="8" w:tplc="270C821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5F3"/>
    <w:rsid w:val="00023A08"/>
    <w:rsid w:val="00062E95"/>
    <w:rsid w:val="0021771B"/>
    <w:rsid w:val="002324D9"/>
    <w:rsid w:val="003378EB"/>
    <w:rsid w:val="003D2AA9"/>
    <w:rsid w:val="00465A6F"/>
    <w:rsid w:val="004C2F4B"/>
    <w:rsid w:val="004D1F06"/>
    <w:rsid w:val="00555578"/>
    <w:rsid w:val="005656A7"/>
    <w:rsid w:val="00783C29"/>
    <w:rsid w:val="007845F3"/>
    <w:rsid w:val="008735EE"/>
    <w:rsid w:val="008C6ED6"/>
    <w:rsid w:val="00930E09"/>
    <w:rsid w:val="00980FB7"/>
    <w:rsid w:val="009A1620"/>
    <w:rsid w:val="009F73A2"/>
    <w:rsid w:val="00A22B57"/>
    <w:rsid w:val="00A27EB7"/>
    <w:rsid w:val="00B52CCE"/>
    <w:rsid w:val="00B52F6B"/>
    <w:rsid w:val="00B80D51"/>
    <w:rsid w:val="00C34784"/>
    <w:rsid w:val="00CF5A8D"/>
    <w:rsid w:val="00D0536E"/>
    <w:rsid w:val="00D64A85"/>
    <w:rsid w:val="00DE6157"/>
    <w:rsid w:val="00E01111"/>
    <w:rsid w:val="00E433E3"/>
    <w:rsid w:val="00EA28E3"/>
    <w:rsid w:val="00F81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D76FE"/>
  <w15:chartTrackingRefBased/>
  <w15:docId w15:val="{C89392DB-4F5E-4C94-BB2F-C8059D944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1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BF4"/>
  </w:style>
  <w:style w:type="paragraph" w:styleId="Footer">
    <w:name w:val="footer"/>
    <w:basedOn w:val="Normal"/>
    <w:link w:val="FooterChar"/>
    <w:uiPriority w:val="99"/>
    <w:unhideWhenUsed/>
    <w:rsid w:val="00F81B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BF4"/>
  </w:style>
  <w:style w:type="paragraph" w:styleId="ListParagraph">
    <w:name w:val="List Paragraph"/>
    <w:basedOn w:val="Normal"/>
    <w:uiPriority w:val="34"/>
    <w:qFormat/>
    <w:rsid w:val="00465A6F"/>
    <w:pPr>
      <w:spacing w:after="0" w:line="276" w:lineRule="auto"/>
      <w:ind w:left="720"/>
      <w:contextualSpacing/>
    </w:pPr>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2355</Words>
  <Characters>11799</Characters>
  <Application>Microsoft Office Word</Application>
  <DocSecurity>0</DocSecurity>
  <Lines>287</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2020-11-25T06:29:00Z</dcterms:created>
  <dcterms:modified xsi:type="dcterms:W3CDTF">2020-11-25T06:29:00Z</dcterms:modified>
</cp:coreProperties>
</file>